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26"/>
        <w:gridCol w:w="7594"/>
      </w:tblGrid>
      <w:tr w:rsidR="00BD2405">
        <w:trPr>
          <w:trHeight w:val="360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" w:hAnsi="Times"/>
                <w:b/>
                <w:color w:val="000000"/>
                <w:sz w:val="24"/>
                <w:lang w:eastAsia="tr-TR"/>
              </w:rPr>
              <w:t>KOCAELİ MYO / MESLEK YÜKSEOKULU SEKRETERLİĞİ BÖLÜM SEKRETERLİĞİ BİRİMİ</w:t>
            </w:r>
          </w:p>
        </w:tc>
      </w:tr>
      <w:tr w:rsidR="00BD2405">
        <w:trPr>
          <w:trHeight w:val="360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" w:hAnsi="Times"/>
                <w:b/>
                <w:color w:val="000000"/>
                <w:sz w:val="24"/>
                <w:lang w:eastAsia="tr-TR"/>
              </w:rPr>
              <w:t>BÖLÜM SEKRETERLİĞİ GÖREVLİSİ 1</w:t>
            </w:r>
          </w:p>
        </w:tc>
      </w:tr>
      <w:tr w:rsidR="00BD2405">
        <w:trPr>
          <w:trHeight w:val="360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" w:hAnsi="Times"/>
                <w:b/>
                <w:color w:val="000000"/>
                <w:sz w:val="24"/>
                <w:lang w:eastAsia="tr-TR"/>
              </w:rPr>
              <w:t>BÖLÜM BAŞKANI/ MESLEK YÜKSEOKULU SEKRETERİ / MÜDÜR</w:t>
            </w:r>
          </w:p>
        </w:tc>
      </w:tr>
      <w:tr w:rsidR="00BD2405">
        <w:trPr>
          <w:trHeight w:val="360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 w:rsidR="00BD2405" w:rsidRDefault="002A08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Bölümü ilgilendiren tüm konularda gerekli tüm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faaliyetlerin yürütülmesi amacıyla çalışmaları yapmak.</w:t>
            </w:r>
            <w:proofErr w:type="gramEnd"/>
          </w:p>
        </w:tc>
      </w:tr>
      <w:tr w:rsidR="00BD2405">
        <w:trPr>
          <w:trHeight w:val="375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 w:rsidR="00BD2405" w:rsidRDefault="002A08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Bölüm Sekreterliği Görevlisi 2</w:t>
            </w:r>
          </w:p>
        </w:tc>
      </w:tr>
      <w:tr w:rsidR="00BD2405">
        <w:trPr>
          <w:trHeight w:val="585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 w:rsidR="00BD2405" w:rsidRDefault="002A08BD">
            <w:pPr>
              <w:jc w:val="both"/>
              <w:rPr>
                <w:rFonts w:ascii="Times New Roman" w:hAnsi="Times New Roman"/>
                <w:sz w:val="24"/>
                <w:lang w:eastAsia="tr-TR"/>
              </w:rPr>
            </w:pP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MeslekYüksekokulunun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ve ilgili bölümün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misyonu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ve vizyonu doğrultusunda Bölümü ilgilendiren tüm konularda gerekli tüm faaliyetlerin etkin  ve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verimlilik ilkelerine uygun olarak yürütülmesi hedeflenmektedir.</w:t>
            </w:r>
          </w:p>
        </w:tc>
      </w:tr>
      <w:tr w:rsidR="00BD2405">
        <w:trPr>
          <w:trHeight w:val="678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b/>
                <w:color w:val="000000"/>
                <w:sz w:val="24"/>
                <w:lang w:eastAsia="tr-TR"/>
              </w:rPr>
              <w:t>-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Bölüm Başkanlığına gelen evrakların Yazı İşleri Biriminden EBYS sisteminde tarayıcıdan taranarak elektronik olarak kayda alınması. 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-Toplantı duyuruların yapılması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..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-Bölüm Kurulu toplantı tutanaklarının bilgisayar ortamına aktarılması.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Bölüm Kurulu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toplantı tutanakları hazırlanıp kurula katılan öğretim elemanlarına imzalatmak ve bölümde saklamak. Bölüm Kurulu Toplantısında alınan kararlar maddeler halinde üst yazıyl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a (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EBYS'den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) ilgili yerlere/ kişilere bildirilmesi ve takip edilmesi.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 personelinin yıllık izin formlarının bir nüshalarının bölüm sekreterliğinde dosyalanması, yıllık izin dönüşünde, yıllık izin dönüş formlarının doldurulmasının sağlanması.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-Öğret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im Elemanlarının (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>.-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Arş.Gör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.-Okt.)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Görev Sürelerinin Uzatılması. 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Her yılın Mayıs-Haziran aylarında öğretim elemanlarının görev sürelerinin uzatılması için bölüm kurul kararı alınır akademik çalışmaları ile birlikte üst yazıyla müdürlüğe bildirilir.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(Öğretim elemanları ve Araştırma görevlileri için görev uzatmalar her yıl yenilenir.)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-Öğretim Üyelerinin (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>.) Görev Sürelerinin Uzatılması. Her Öğretim üyesi (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>.) görev süresinin uzatılması için görevinin bitmesine 5 ay kala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dilekçeyle 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kademik faaliyet raporlarını Bölüm Başkanlığına teslim eder. Öğretim üyesinden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gelen yazıya göre 2457 sayılı Yükseköğretim Kanununun 23. maddesi ve Öğretim Üyelerinin Yükseltilme ve Atanma Yönetmeliğinin 9.maddesi uyarınca görev süresinin uzatılması isteği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için jüri oluşturulması talepli bölüm kurulu kararı alınır ve üst yazıyla müdürlüğe bildirilir. (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Yrd.Doç.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Dr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>.’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ların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görev sürelerinin uzatılması 3 yılda bir yenilenir.)</w:t>
            </w:r>
          </w:p>
          <w:p w:rsidR="00BD2405" w:rsidRDefault="00BD2405">
            <w:pPr>
              <w:pStyle w:val="ListeParagraf1"/>
              <w:spacing w:after="240"/>
              <w:rPr>
                <w:rFonts w:ascii="Times New Roman" w:hAnsi="Times New Roman"/>
                <w:sz w:val="24"/>
                <w:lang w:eastAsia="tr-TR"/>
              </w:rPr>
            </w:pP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lastRenderedPageBreak/>
              <w:t xml:space="preserve">-Öğrenci Danışman Atamaları; Kocaeli Üniversitesi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Önlisans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>-Lisans Eğitim-Öğretim Sınav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Yönetmeliğinin 9.maddesine göre bölüm başkanının önerisi doğrultusunda akademik danışman atanması.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öğrenci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danışmanlarını belirlenerek öğrenci bilgi sistemine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girilirmesi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ve bölüm ilan panolarına asılması.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-Ders kayıt tarihlerinden önce şube ve dersi yürü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tecek öğretim elemanı gibi gerekli tüm bilgilerin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ÖBS’ye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girilmesi.</w:t>
            </w:r>
          </w:p>
          <w:p w:rsidR="00BD2405" w:rsidRDefault="002A08BD">
            <w:pPr>
              <w:pStyle w:val="ListeParagraf1"/>
              <w:spacing w:before="240"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-Ders programlarının, ders dağılımlarının ve ders planlarının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ÖBS’ye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girilmesi.</w:t>
            </w:r>
          </w:p>
          <w:p w:rsidR="00BD2405" w:rsidRDefault="002A08BD">
            <w:pPr>
              <w:pStyle w:val="ListeParagraf1"/>
              <w:spacing w:before="240"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-Ders aldırma, dersleri açıp kapama ve sınavları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ÖBS’ye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açıp kapama işlemlerinin zamanında yapılması.</w:t>
            </w:r>
          </w:p>
          <w:p w:rsidR="00BD2405" w:rsidRDefault="002A08BD">
            <w:pPr>
              <w:pStyle w:val="ListeParagraf1"/>
              <w:spacing w:before="240"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-Dersl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erin etkin şekilde yürütülebilmesi için öğretim elemanlarının ihtiyacı olan kırtasiye malzemeleri ile ders araçlarının sağlanması.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-Haftalık Ders Programları; Haftalık ders programını hazırlayan öğretim üyesi/öğretim elemanı programı tamamladıktan sonra bö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lüme teslim eder. Haftalık ders programları için bölüm kurulu kararı alınır ve üst yazıyla müdürlüğe bildirmek. (Her yarıyıl yenilenir)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-Meslek Yüksekokulu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 xml:space="preserve">Yönetim Kurulu tarafından kabul edilen ders programları her dönemin başlamasına 15 gün kala öğrenci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bilgi sistemine girilmesi, ilan panolarına asılması ve WEB sayfasından öğrencilere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duyurulurmasını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sağlamak. 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-Bölümde derse girecek öğretim üyesi/elemanları için; Meslek Yüksekokulu e içinden ve dışından istenen dersler üst yazıyla müdürlüğe bildirmek.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-Bölümde verilmesi istenen dersler Meslek Yüksekokulu içinden ve dışından gelen yazılar müdürlük kanalıyla bölüme bildirilir. Bölümde verilecek dersler ve derse girecek öğretim üyeleri/elemanları için alınan bölüm kurulu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kararınıüst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yazıyla müdürlüğe bildi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rmek.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-Meslek Yüksekokulu Yönetim Kurulu tarafından kabul edilen verilecek dersler ve derse girecek öğretim üyelerinin/elemanlarının adlarını sicil numaralarına göre öğrenci bilgi sistemine girmek.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-Ara Sınav, Yarıyıl Sonu Sınavları ve Bütünleme Sınavları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(Her yarıyıl için)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Sınav programları bölüm görev çizelgesine göre görevli öğretim üyesi/elemanı tarafından hazırlanır ve bölüme bildirilir. Bölüme gelen sınav programları üst yazıyla müdürlüğe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-Fakülte Yönetim Kurulu tarafından kabul edilen sın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av programlarının sınavların başlamasına 15 gün kala öğrenci bilgi sistemine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girilirmesi,ilan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panolarına asılması ve WEB sayfasından öğrencilere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duyurulurmasının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sağlanması.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lastRenderedPageBreak/>
              <w:t>-Dersi veren öğretim üyelerine/elemanlarına sınav zarfları imza karşılığı teslim 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dilir. (Yarıyıl Sonu ve Bütünleme Sınavlarında sınav zarfı verilir.)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-Sınavlar belirlenen yasal süre içinde okunur sınav zarfıyla birlikte bölüm sekreterliğine teslim edilir. (Yarıyıl Sonu ve Bütünleme Sınavlarının sınav evrakları bölüme teslim edilir.)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ra Sınav, Yarıyıl Sonu Sınavları ve Bütünleme Sınavlarının Açıklanması (Her yarıyıl için); Her ders için sınavın yapıldığı günden itibaren Kocaeli Üniversitesi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Önlisans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-Lisans Eğitim-Öğretim ve Sınav Yönetmeliğinin 24.maddesine göre öğrencilerin sınav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kağı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tları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7 gün içerisinde dersin sorumlusu tarafından okunur ve dersin öğrenci sınav listesi bölüme teslim edilir. Sınav listesi teslim edildikten sonra öğrenci bilgi sisteminden notlar öğrencilere açıklanır.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-Okunan sınav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kağıtları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sınav zarfı içinde bölüme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teslim edilir.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(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>Yarıyıl Sonu ve Bütünleme Sınavları için geçerlidir. Ara sınav evrakları dersin sorumlusu öğretim üyesi/elemanı tarafından 5 yıl muhafaza edilir.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)</w:t>
            </w:r>
            <w:proofErr w:type="gramEnd"/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-Öğrenci Seçme ve Yerleştirme Sınavını Kazanarak Gelen Öğrencilerin Ders Muafiyeti; Akademik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Takvime göre Güz Dönemi başlangıcından itibaren derslerden muaf olmak isteyen öğrenciler dilekçe ve ders içerikleri ile 2 hafta içerisinde EBYS üzerinden kayda alınarak bölüm başkanlığına gönderilir.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 Başkanlığı öğrencilerin başvurularını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Muafiyet ve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İntibak Komisyonuna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bildirilir.Muafiyet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ve İntibak Komisyonu tarafından tamamlanan öğrenci muafiyet listeleri yazıyla bölüme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-Muafiyet ve İntibak Komisyonu tarafından öğrencinin muaf olduğu derslerin her eğitim-öğretim yılı için 40 AKTS ve üze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rinde ise öğrenci bir üst sınıftan intibak ettirilir ve bölüm kurulu kararı alınır, yazı ile müdürlüğe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-Meslek Yüksekokulu Yönetim Kurulu tarafından kabul edilen öğrenci ders muafiyetleri yazıyla bölüme bildirilir. Bölüme gelen yazıya göre öğre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ncilerin muaf olduğu derslerin notları öğrenci bilgi sistemi </w:t>
            </w:r>
            <w:r>
              <w:rPr>
                <w:rFonts w:ascii="Times" w:hAnsi="Times"/>
                <w:b/>
                <w:color w:val="000000"/>
                <w:sz w:val="24"/>
                <w:lang w:eastAsia="tr-TR"/>
              </w:rPr>
              <w:t>muafiyetler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linkinden girilerek öğrencilerin notlarını görmesi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sağlanır.Öğrencilerin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muaf olduğu derslerin notları liste halinde internet ortamında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duyurular kısmında ilan edilir ve ilan panoları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na asılır.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-Yatay Geçiş Sınavını Kazanarak Gelen Öğrencilerin Ders Muafiyeti; 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Yatay geçiş sınavını kazanan öğrencilerin kayıtları ilan edilen takvime göre Bölüm Sekreterliği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tarafındanÖn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Kayıt yapılır. Sonrasında Öğrenci İşleri Daire Başkanlığınca kayıt 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şlemi tamamlanır.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 Başkanlığına teslim edilen transkript ve ders içerikleri Yatay Geçiş İntibak Komisyonunu tarafından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 xml:space="preserve">incelenen öğrencilerin muaf olacağı derslerin notları ve alacağı dersler listelenerek bölüm başkanlığına bildirilir. 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lastRenderedPageBreak/>
              <w:t>-Öğrencilerin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alacağı dersler ve muaf oldukları derslerin listesi bölüm kurulu kararı ile müdürlüğe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-Meslek Yüksekokulu Yönetim Kurulu tarafından kabul edilen öğrencilerin ders muafiyetleri ve alacağı dersler yazıyla bölüme bildirilir. Bölüme gelen yazıya g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öre öğrencilerin muaf olduğu derslerin notları öğrenci bilgi sisteminde muafiyetler linkinden girilerek öğrencilerin notlarını görmesi sağlanır.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-Mezuniyete Tek Derse Kalan Öğrenciler İçin (Tek Ders Sınavı güz ve bahar dönemleri sonunda yapılır); Mezun olm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asına tek ders kalan öğrencilerin dilekçeleri ve transkriptleri Bölüm Başkanlığa EBYS üzerinden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 Dilekçesi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öğrencinin danışmanına bildirir. Öğrencinin danışmanı öğrencinin tek ders sınavına girmesine uygun olup olmadığını kontrol eder ve öğren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cinin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taranskriptini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inceler, durumunu bölüm başkanlığına bildirir. 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 başkanlığı tek derse kalan öğrencinin hangi dersten sınava girecekse o dersin öğretim üyesine/elemanına yazıyla sınav gününü ve saatini bildirir.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-Tek ders sınavına girecek öğrenci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ler için sınav günü, saati panolarda ve bölüm sayfasında duyurulur. Tek ders sınavı belirlenen gün ve saatte yapılır, öğrencilerin aldığı notlar çizelgeye yazılıp öğretim üyesi/elemanı tarafından imzalanır. Öğrencinin sınavda aldığı notlar öğrenci bilgi si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stemine eski notlar-muafiyetler linkinden sisteme işlenir ve sınav sonuçları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öğrencilere duyurulur.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-Öğrenci Mezuniyetleri (Güz ve Bahar Dönemlerinin Başında ve Sonunda yapılır) ; Mezun olacak öğrencilerin isim listesi öğrenci danışmanları tarafından mezun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tiki konulduktan sonra bölüm başkanlığına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-Öğrenciler mezun durumlarına göre final, bütünleme, tek ders ve staj mezunu olarak bölüm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kurulu kararı alınır ve müdürlüğe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 xml:space="preserve">bildirilir. 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-Bölüme ait öğrencilerin Kayıt Dondurma, Kayıt Silme ve Kayıt Aç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ma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İşlemleri ; Öğrencilerin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kayıt dondurma ve kayıt açma istekleri için bölüm kurulu kararı alınır ve müdürlüğe bildirilir. Meslek Yüksekokulu Yönetim Kurulunda görüşülerek ilgili yerlere bildirilir.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-Öğrenciler kayıt silme a istekleri için dilekçe ile Öğr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enci İşleri birimine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 xml:space="preserve">başvururlar. Başvurular Daire Başkanlığınca üst yazı ile müdürlüğe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bildirilir.Meslek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Yüksekokulu Yönetim Kurulunda görüşülerek ilgili yerlere bildirilir.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-Ek Ders Ücretlerinin Yapılması; Her ayın ilk günü bölüm içinden ve dışından ders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e giren öğretim üyelerinin/elemanlarının ek ders ücret çizelgeleri üst yazıyla müdürlüğe bildirilir. (Örgün ve II. Öğretim için Ücret Çizelgeleri hazırlanır.)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lastRenderedPageBreak/>
              <w:t xml:space="preserve">-Ek ders ücret çizelgeleri her yarıyıl öğretim üyelerinin/elemanlarının F1 formlarına göre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yapılır. Öğretim Üyelerinin/Elemanlarının F1 Formları; Her yarıyılın başında öğretim üyeleri /elemanları F1 formlarını bölüm başkanlığına teslim eder ve F1 formları üst yazıyla Müdürlüğe bildirilir.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-Yarıyıl Sonu Sınavları Ücret Tahsislerinin Yapılması; He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r yarıyılın sonunda yapılan Yarıyıl Sonu Sınavları için derse giren öğretim üyeleri/elemanları için 2914 sayılı yasanın 11.maddesine göre yapılan sınav ücret tahsisi çizelgeleri üst yazıyla müdürlüğe bildirilir. Yarıyıl Sonu Sınavları ücret tahsisi çizelge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leri Örgün ve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II.Öğretim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olarak düzenlenir.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 Onur ve Yüksek Onur Öğrencileri İçin; İki yarıyılın sonunda Kocaeli Üniversitesi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Önlisans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>-Lisans Eğitim-Öğretim Sınav Yönetmeliğinin 38. Maddesine göre Onur veya Yüksek Onur Belgesi almaya hak kazanan öğrencile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rin isim listesi ve not ortalamaları üst yazıyla müdürlüğe bildirilir. Meslek Yüksekokulu Kararı alınarak Öğrenci İşleri Daire Başkanlığına bildirilir.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-Onur ve Yüksek onur Belgesi almaya hak kazanan öğrencilerin isim listesi panolarda ve internet ortamınd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a bölüm sayfasında öğrencilere duyurulur. Onur veya Yüksek Onur Belgesi almaya hak kazanan öğrencilerin başarı belgeleri öğrencilere imza karşılığında teslim edilir.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-Bölümde Dereceye Giren Öğrencilerin Durumu (%10’a giren öğrenciler); Bölümde dereceye gir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en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öğrenciler tespit edilir ve başarılı öğrenciler için bölüm kurulu kararı alınır ve üst yazıyla müdürlüğe bildirilir. Başarılı öğrencilerin isim listesi bölüm sayfasında duyurulur ve panolarda ilan edilir. (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II.Öğretimde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olup %10 giren öğrenciler Kocaeli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Üniversitesi </w:t>
            </w:r>
            <w:proofErr w:type="spellStart"/>
            <w:r>
              <w:rPr>
                <w:rFonts w:ascii="Times" w:hAnsi="Times"/>
                <w:color w:val="000000"/>
                <w:sz w:val="24"/>
                <w:lang w:eastAsia="tr-TR"/>
              </w:rPr>
              <w:t>Önlisans</w:t>
            </w:r>
            <w:proofErr w:type="spellEnd"/>
            <w:r>
              <w:rPr>
                <w:rFonts w:ascii="Times" w:hAnsi="Times"/>
                <w:color w:val="000000"/>
                <w:sz w:val="24"/>
                <w:lang w:eastAsia="tr-TR"/>
              </w:rPr>
              <w:t>-Lisans Eğitim-Öğretim Sınav Yönetmeliğinin 48. Maddesine göre örgün öğretim ücreti öder.)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-1.Sınıf Öğrencilerinin Ders Seçimi; 1.Sınıf öğrencilerinin ders seçimi öğrenci bilgi sistemi 1.sınıf öğrencilerine ders aldırma linkinden otoma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tik olarak atanır.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-Öğrencilerin Staj Durumları; Staj yapan öğrencilerin staj listeleri Staj Komisyonu Başkanlığı tarafından bölüm başkanlığına yazıyla </w:t>
            </w:r>
            <w:proofErr w:type="spellStart"/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bildirilir.Stajları</w:t>
            </w:r>
            <w:proofErr w:type="spellEnd"/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kabul edilen öğrencilerin isim listesi üst yazıyla Öğrenci İşleri Daire Başkanlığına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bildirilir. Stajları başarılı bulunan öğrencilerin listesi panolarda ve bölüm sayfasında ilan edilir.</w:t>
            </w:r>
          </w:p>
          <w:p w:rsidR="00BD2405" w:rsidRDefault="002A08BD">
            <w:pPr>
              <w:pStyle w:val="ListeParagraf1"/>
              <w:spacing w:after="240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-Öğrenci Affıyla Gelen Öğrencilerin Durumu; Öğrencilerin af başvuru dilekçeleri müdürlük tarafından bölüm başkanlığına bildirilir. Gelen dilekçelere göre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öğrencilerin durumu Öğrenci Af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 xml:space="preserve">Komisyonu tarafından incelenir ve gireceği sınavlar, sınav programları ve alacağı dersler üst yazıyla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lastRenderedPageBreak/>
              <w:t>bölüm başkanlığına bildirilir. Sınava girecek öğrencilerin sınav programları internet ortamında bölüm sayfasında öğrencile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re duyurulur. Oluşturulan sınav programına göre öğrencinin başarısız olduğu dersi veren öğretim üyesine/ elemanına üst yazıyla sınav programı imza karşılığı bildirilir. Sınavları yapılan öğrencilerin notları hazırlanan sınav sonuç çizelgesine yazılır ve sı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navı yapan öğretim üyesi/elemanı tarafından imzalanır.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-Öğrencilerin notları öğrenci bilgi sistemi eski notlar-muafiyet 5806 Af linkinden sisteme işlenir.</w:t>
            </w:r>
          </w:p>
          <w:p w:rsidR="00BD2405" w:rsidRDefault="002A08BD">
            <w:pPr>
              <w:pStyle w:val="ListeParagraf1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-Dersliklerin Belirlenmesi; Öğrenci sayılarına göre derslikler bölüm başkanlığı tarafından belirlenir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, sınıfların ders programı çizelgeleri oluşturulur ve dersliklere asılır.</w:t>
            </w:r>
          </w:p>
          <w:p w:rsidR="00BD2405" w:rsidRDefault="002A08BD">
            <w:pPr>
              <w:pStyle w:val="ListeParagraf1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-Yeni Kadroya Atananlar İçin; Kadro atamalarında öğretim üyesinin/elemanının göreve başlama durumu üst yazıyla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ab/>
              <w:t>müdürlüğe bildirilir.</w:t>
            </w:r>
          </w:p>
          <w:p w:rsidR="00BD2405" w:rsidRDefault="002A08BD">
            <w:pPr>
              <w:pStyle w:val="ListeParagraf1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-Öğrencilere Şifrelerinin </w:t>
            </w: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Verilmesi ; Öğrenciler</w:t>
            </w:r>
            <w:proofErr w:type="gramEnd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şifrelerini kaybettiğinde öğrenci kimliği ile bölüm başkanlığına başvurur ve şifresi öğrenci bilgi sisteminde bakılır ve öğrenciye bildirilir.</w:t>
            </w:r>
          </w:p>
          <w:p w:rsidR="00BD2405" w:rsidRDefault="002A08BD">
            <w:pPr>
              <w:pStyle w:val="ListeParagraf1"/>
              <w:spacing w:before="240"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-Telefonların yanıtlanması, gerekli durumlarda not alarak ilgili kişiye iletilmesi.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 xml:space="preserve">-Tasarruf ilkelerine uygun </w:t>
            </w:r>
            <w:r>
              <w:rPr>
                <w:rFonts w:ascii="Times" w:hAnsi="Times"/>
                <w:color w:val="000000"/>
                <w:sz w:val="24"/>
                <w:lang w:eastAsia="tr-TR"/>
              </w:rPr>
              <w:t>hareket etmek.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" w:hAnsi="Times"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  <w:lang w:eastAsia="tr-TR"/>
              </w:rPr>
              <w:t>-Üniversitenin etik kurallarına uymak.</w:t>
            </w:r>
            <w:proofErr w:type="gramEnd"/>
          </w:p>
          <w:p w:rsidR="00BD2405" w:rsidRDefault="002A08BD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" w:hAnsi="Times"/>
                <w:color w:val="000000"/>
                <w:sz w:val="24"/>
                <w:lang w:eastAsia="tr-TR"/>
              </w:rPr>
              <w:t>-Kendisine verilen görevlerin düzenli, verimli, süratli ve etkin bir şekilde yerine getirilmesinden bağlı bulunduğu Üst Yöneticilerine karşı sorumludur.</w:t>
            </w:r>
          </w:p>
        </w:tc>
      </w:tr>
      <w:tr w:rsidR="00BD2405">
        <w:trPr>
          <w:trHeight w:val="1399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lastRenderedPageBreak/>
              <w:t>Ye</w:t>
            </w:r>
            <w:r>
              <w:rPr>
                <w:rFonts w:ascii="Times New Roman" w:hAnsi="Times New Roman"/>
                <w:b/>
                <w:sz w:val="24"/>
              </w:rPr>
              <w:t>tkileri</w:t>
            </w:r>
          </w:p>
        </w:tc>
        <w:tc>
          <w:tcPr>
            <w:tcW w:w="7594" w:type="dxa"/>
          </w:tcPr>
          <w:p w:rsidR="00BD2405" w:rsidRDefault="002A08BD">
            <w:pPr>
              <w:jc w:val="both"/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 xml:space="preserve">-Görev ve sorumlulukları </w:t>
            </w:r>
            <w:r>
              <w:rPr>
                <w:rFonts w:ascii="Times" w:hAnsi="Times"/>
                <w:color w:val="000000"/>
                <w:sz w:val="24"/>
              </w:rPr>
              <w:t xml:space="preserve">gerçekleştirme yetkisine </w:t>
            </w:r>
            <w:proofErr w:type="spellStart"/>
            <w:r>
              <w:rPr>
                <w:rFonts w:ascii="Times" w:hAnsi="Times"/>
                <w:color w:val="000000"/>
                <w:sz w:val="24"/>
              </w:rPr>
              <w:t>sahipolmak</w:t>
            </w:r>
            <w:proofErr w:type="spellEnd"/>
            <w:r>
              <w:rPr>
                <w:rFonts w:ascii="Times" w:hAnsi="Times"/>
                <w:color w:val="000000"/>
                <w:sz w:val="24"/>
              </w:rPr>
              <w:t>.</w:t>
            </w:r>
          </w:p>
          <w:p w:rsidR="00BD2405" w:rsidRDefault="002A08BD">
            <w:pPr>
              <w:jc w:val="both"/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-Faaliyetlerin gerçekleştirilmesi için gerekli araç ve gereci kullanmak.</w:t>
            </w:r>
          </w:p>
          <w:p w:rsidR="00BD2405" w:rsidRDefault="002A08BD">
            <w:pPr>
              <w:jc w:val="both"/>
              <w:rPr>
                <w:rFonts w:ascii="Times" w:hAnsi="Times"/>
                <w:color w:val="000000"/>
                <w:sz w:val="24"/>
              </w:rPr>
            </w:pPr>
            <w:proofErr w:type="gramStart"/>
            <w:r>
              <w:rPr>
                <w:rFonts w:ascii="Times" w:hAnsi="Times"/>
                <w:color w:val="000000"/>
                <w:sz w:val="24"/>
              </w:rPr>
              <w:t>-Paraf yetkisine sahip olmak.</w:t>
            </w:r>
            <w:proofErr w:type="gramEnd"/>
          </w:p>
          <w:p w:rsidR="00BD2405" w:rsidRDefault="002A08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-</w:t>
            </w:r>
            <w:proofErr w:type="gramStart"/>
            <w:r>
              <w:rPr>
                <w:rFonts w:ascii="Times" w:hAnsi="Times"/>
                <w:color w:val="000000"/>
                <w:sz w:val="24"/>
              </w:rPr>
              <w:t>ÖBS,EBYS</w:t>
            </w:r>
            <w:proofErr w:type="gramEnd"/>
            <w:r>
              <w:rPr>
                <w:rFonts w:ascii="Times" w:hAnsi="Times"/>
                <w:color w:val="000000"/>
                <w:sz w:val="24"/>
              </w:rPr>
              <w:t>, sistemlerini kullanmak.</w:t>
            </w:r>
          </w:p>
        </w:tc>
      </w:tr>
      <w:tr w:rsidR="00BD2405">
        <w:trPr>
          <w:trHeight w:val="1449"/>
        </w:trPr>
        <w:tc>
          <w:tcPr>
            <w:tcW w:w="2126" w:type="dxa"/>
          </w:tcPr>
          <w:p w:rsidR="00BD2405" w:rsidRDefault="002A08BD">
            <w:pPr>
              <w:spacing w:after="0" w:line="240" w:lineRule="auto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  <w:t>Kanun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i/>
                <w:sz w:val="24"/>
                <w:lang w:eastAsia="tr-TR"/>
              </w:rPr>
              <w:t xml:space="preserve"> - </w:t>
            </w:r>
            <w:r>
              <w:rPr>
                <w:rFonts w:ascii="Times New Roman" w:hAnsi="Times New Roman"/>
                <w:sz w:val="24"/>
                <w:lang w:eastAsia="tr-TR"/>
              </w:rPr>
              <w:t xml:space="preserve">2547 Sayılı kanun 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- 6245 Sayılı Harcırah Kanunu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- Yüksek </w:t>
            </w:r>
            <w:r>
              <w:rPr>
                <w:rFonts w:ascii="Times New Roman" w:hAnsi="Times New Roman"/>
                <w:sz w:val="24"/>
                <w:lang w:eastAsia="tr-TR"/>
              </w:rPr>
              <w:t>Öğretim Personel Kanunu (2914)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  <w:t>Yönetmelik;</w:t>
            </w:r>
          </w:p>
          <w:p w:rsidR="00BD2405" w:rsidRDefault="002A08BD">
            <w:pPr>
              <w:pStyle w:val="ListeParagraf1"/>
              <w:spacing w:after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Üniversitelerde Akademik Teşkilât </w:t>
            </w:r>
            <w:proofErr w:type="gramStart"/>
            <w:r>
              <w:rPr>
                <w:rFonts w:ascii="Times New Roman" w:hAnsi="Times New Roman"/>
                <w:sz w:val="24"/>
                <w:lang w:eastAsia="tr-TR"/>
              </w:rPr>
              <w:t>Yönetmeliği ,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Doçent Sınav Yönetmeliği 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Öğretim Üyeliğine Yükseltilme ve Atanma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Yükseköğretim Kurumları Bilimsel Araştırma Projeleri Hakkında </w:t>
            </w:r>
            <w:r>
              <w:rPr>
                <w:rFonts w:ascii="Times New Roman" w:hAnsi="Times New Roman"/>
                <w:sz w:val="24"/>
                <w:lang w:eastAsia="tr-TR"/>
              </w:rPr>
              <w:lastRenderedPageBreak/>
              <w:t>Yönetmelik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</w:t>
            </w:r>
            <w:r>
              <w:rPr>
                <w:rFonts w:ascii="Times New Roman" w:hAnsi="Times New Roman"/>
                <w:sz w:val="24"/>
                <w:lang w:eastAsia="tr-TR"/>
              </w:rPr>
              <w:t xml:space="preserve"> Yükseköğretim Kurumlarında Akademik Kurulların Oluşturulması ve Bilimsel Denetim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 xml:space="preserve"> - Devlet Memurlarına Verilecek Hastalık Raporları İle Hastalık Ve Refakat İznine İlişkin Usul Ve Esaslar Hakkında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Yönetmelik ,</w:t>
            </w:r>
            <w:proofErr w:type="gramEnd"/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Kocaeli Üniversitesi Ön Lisans </w:t>
            </w:r>
            <w:r>
              <w:rPr>
                <w:rFonts w:ascii="Times New Roman" w:hAnsi="Times New Roman"/>
                <w:sz w:val="24"/>
                <w:lang w:eastAsia="tr-TR"/>
              </w:rPr>
              <w:t>ve Lisans Eğitim ve Öğretim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Kocaeli Üniversitesi Çift </w:t>
            </w:r>
            <w:proofErr w:type="spellStart"/>
            <w:r>
              <w:rPr>
                <w:rFonts w:ascii="Times New Roman" w:hAnsi="Times New Roman"/>
                <w:sz w:val="24"/>
                <w:lang w:eastAsia="tr-TR"/>
              </w:rPr>
              <w:t>Anadal</w:t>
            </w:r>
            <w:proofErr w:type="spellEnd"/>
            <w:r>
              <w:rPr>
                <w:rFonts w:ascii="Times New Roman" w:hAnsi="Times New Roman"/>
                <w:sz w:val="24"/>
                <w:lang w:eastAsia="tr-TR"/>
              </w:rPr>
              <w:t xml:space="preserve"> Programı(ÇAP)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DGS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Yükseköğretim Kurumları Yönetici, Öğretim Elemanı Ve Memurları Disiplin Yönetmeliği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-Yükseköğretim Kurumları Öğrenci Disiplin Yönet</w:t>
            </w:r>
            <w:r>
              <w:rPr>
                <w:rFonts w:ascii="Times New Roman" w:hAnsi="Times New Roman"/>
                <w:sz w:val="24"/>
                <w:lang w:eastAsia="tr-TR"/>
              </w:rPr>
              <w:t>meliği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eastAsia="tr-TR"/>
              </w:rPr>
              <w:t>Yönerge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Kocaeli Üniversitesi Rektörlüğü İmza Yetkileri, Yetki Devri ve Elektronik Yazışma Kuralları Yönergesi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b/>
                <w:sz w:val="24"/>
                <w:u w:val="singl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shd w:val="clear" w:color="auto" w:fill="FFFFFF"/>
                <w:lang w:eastAsia="tr-TR"/>
              </w:rPr>
              <w:t>Kocaeli Üniversitesi Genelgeleri;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 - Yardımcı Doçentlerin Yeniden Atanma Kuralları (Genelge-2013/10)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- 2547 Sayılı Kanunun Uyarınca Yen</w:t>
            </w:r>
            <w:r>
              <w:rPr>
                <w:rFonts w:ascii="Times New Roman" w:hAnsi="Times New Roman"/>
                <w:sz w:val="24"/>
                <w:lang w:eastAsia="tr-TR"/>
              </w:rPr>
              <w:t>iden Atanacak Öğretim Elemanları (Genelge-2013/11)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- 2547 Sayılı Kanunun 31. 34. 37. ve 40.</w:t>
            </w:r>
            <w:proofErr w:type="gramStart"/>
            <w:r>
              <w:rPr>
                <w:rFonts w:ascii="Times New Roman" w:hAnsi="Times New Roman"/>
                <w:sz w:val="24"/>
                <w:lang w:eastAsia="tr-TR"/>
              </w:rPr>
              <w:t>Md.Gereği</w:t>
            </w:r>
            <w:proofErr w:type="gramEnd"/>
            <w:r>
              <w:rPr>
                <w:rFonts w:ascii="Times New Roman" w:hAnsi="Times New Roman"/>
                <w:sz w:val="24"/>
                <w:lang w:eastAsia="tr-TR"/>
              </w:rPr>
              <w:t xml:space="preserve"> Görevlendirmeler (Genelge-2013/12)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İzinlerin Kullanılmasına İlişkin Mevzuat(Genelge-2013/13)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Bilimsel Çalışma ve Araştırma Faaliyetleri İle İlgili K</w:t>
            </w:r>
            <w:r>
              <w:rPr>
                <w:rFonts w:ascii="Times New Roman" w:hAnsi="Times New Roman"/>
                <w:sz w:val="24"/>
                <w:lang w:eastAsia="tr-TR"/>
              </w:rPr>
              <w:t>urallar(Genelge -</w:t>
            </w:r>
            <w:r>
              <w:rPr>
                <w:rFonts w:ascii="Times New Roman" w:hAnsi="Times New Roman"/>
                <w:sz w:val="24"/>
                <w:lang w:eastAsia="tr-TR"/>
              </w:rPr>
              <w:tab/>
              <w:t>2013/4)</w:t>
            </w:r>
          </w:p>
          <w:p w:rsidR="00BD2405" w:rsidRDefault="002A08BD">
            <w:pPr>
              <w:pStyle w:val="ListeParagraf1"/>
              <w:spacing w:after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- 2547 Sayılı Kanunu 4/C ve 12.Md. Uyarınca Yapılacak Olan Bilimsel Çalışmalar (Genelge - 2013/5)</w:t>
            </w:r>
          </w:p>
          <w:p w:rsidR="00BD2405" w:rsidRDefault="002A08BD">
            <w:pPr>
              <w:pStyle w:val="ListeParagraf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Ders Programları İle İlgili Mevzuat(Genelge - 2013/8)</w:t>
            </w:r>
          </w:p>
        </w:tc>
      </w:tr>
    </w:tbl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p w:rsidR="00BD2405" w:rsidRDefault="00BD2405">
      <w:pPr>
        <w:rPr>
          <w:rFonts w:ascii="Times New Roman" w:hAnsi="Times New Roman"/>
          <w:sz w:val="24"/>
        </w:rPr>
      </w:pPr>
    </w:p>
    <w:sectPr w:rsidR="00BD2405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D" w:rsidRDefault="002A08BD">
      <w:pPr>
        <w:spacing w:after="0" w:line="240" w:lineRule="auto"/>
      </w:pPr>
      <w:r>
        <w:separator/>
      </w:r>
    </w:p>
  </w:endnote>
  <w:endnote w:type="continuationSeparator" w:id="0">
    <w:p w:rsidR="002A08BD" w:rsidRDefault="002A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D" w:rsidRDefault="002A08BD">
      <w:pPr>
        <w:spacing w:after="0" w:line="240" w:lineRule="auto"/>
      </w:pPr>
      <w:r>
        <w:separator/>
      </w:r>
    </w:p>
  </w:footnote>
  <w:footnote w:type="continuationSeparator" w:id="0">
    <w:p w:rsidR="002A08BD" w:rsidRDefault="002A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6"/>
      <w:gridCol w:w="4890"/>
      <w:gridCol w:w="2704"/>
    </w:tblGrid>
    <w:tr w:rsidR="00BD2405">
      <w:trPr>
        <w:trHeight w:val="1833"/>
      </w:trPr>
      <w:tc>
        <w:tcPr>
          <w:tcW w:w="1985" w:type="dxa"/>
        </w:tcPr>
        <w:p w:rsidR="00BD2405" w:rsidRDefault="002A08BD">
          <w:pPr>
            <w:rPr>
              <w:rFonts w:ascii="Times New Roman" w:hAnsi="Times New Roman"/>
              <w:sz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212850" cy="11874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 w:rsidR="00BD2405" w:rsidRDefault="002A08BD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T.C.</w:t>
          </w:r>
        </w:p>
        <w:p w:rsidR="00BD2405" w:rsidRDefault="002A08BD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KOCAELİ ÜNİVERSİTESİ</w:t>
          </w:r>
        </w:p>
        <w:p w:rsidR="00BD2405" w:rsidRDefault="002A08BD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GÖREV TANIMI FORMU</w:t>
          </w:r>
        </w:p>
        <w:p w:rsidR="00BD2405" w:rsidRDefault="00BD2405">
          <w:pPr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14" w:type="dxa"/>
        </w:tcPr>
        <w:p w:rsidR="00BD2405" w:rsidRDefault="002A08BD">
          <w:pPr>
            <w:rPr>
              <w:sz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41450" cy="51435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D2405" w:rsidRDefault="002A08BD">
          <w:pPr>
            <w:rPr>
              <w:rFonts w:ascii="Times New Roman" w:hAnsi="Times New Roman"/>
              <w:sz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79500" cy="4953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D2405" w:rsidRDefault="00BD24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EFA"/>
    <w:multiLevelType w:val="multilevel"/>
    <w:tmpl w:val="542EEAC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2B72060"/>
    <w:multiLevelType w:val="multilevel"/>
    <w:tmpl w:val="88E896F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F4367A"/>
    <w:multiLevelType w:val="multilevel"/>
    <w:tmpl w:val="667C2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6F16"/>
    <w:multiLevelType w:val="multilevel"/>
    <w:tmpl w:val="5088C76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3FFF66"/>
    <w:multiLevelType w:val="multilevel"/>
    <w:tmpl w:val="516C10EE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5">
    <w:nsid w:val="6727180C"/>
    <w:multiLevelType w:val="multilevel"/>
    <w:tmpl w:val="CC486DF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5"/>
    <w:rsid w:val="002A08BD"/>
    <w:rsid w:val="00BD2405"/>
    <w:rsid w:val="00F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styleId="BalonMetni">
    <w:name w:val="Balloon Text"/>
    <w:basedOn w:val="Normal"/>
    <w:semiHidden/>
    <w:rPr>
      <w:rFonts w:ascii="Tahoma" w:hAnsi="Tahoma"/>
      <w:sz w:val="16"/>
    </w:rPr>
  </w:style>
  <w:style w:type="paragraph" w:customStyle="1" w:styleId="AralkYok1">
    <w:name w:val="Aralık Yok1"/>
    <w:rPr>
      <w:rFonts w:ascii="Calibri" w:hAnsi="Calibri"/>
      <w:sz w:val="22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</w:rPr>
  </w:style>
  <w:style w:type="character" w:customStyle="1" w:styleId="stbilgiChar">
    <w:name w:val="Üstbilgi Char"/>
    <w:basedOn w:val="VarsaylanParagrafYazTipi"/>
    <w:link w:val="stbilgi"/>
  </w:style>
  <w:style w:type="character" w:customStyle="1" w:styleId="AltbilgiChar">
    <w:name w:val="Altbilgi Char"/>
    <w:basedOn w:val="VarsaylanParagrafYazTipi"/>
    <w:link w:val="Altbilgi"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styleId="BalonMetni">
    <w:name w:val="Balloon Text"/>
    <w:basedOn w:val="Normal"/>
    <w:semiHidden/>
    <w:rPr>
      <w:rFonts w:ascii="Tahoma" w:hAnsi="Tahoma"/>
      <w:sz w:val="16"/>
    </w:rPr>
  </w:style>
  <w:style w:type="paragraph" w:customStyle="1" w:styleId="AralkYok1">
    <w:name w:val="Aralık Yok1"/>
    <w:rPr>
      <w:rFonts w:ascii="Calibri" w:hAnsi="Calibri"/>
      <w:sz w:val="22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</w:rPr>
  </w:style>
  <w:style w:type="character" w:customStyle="1" w:styleId="stbilgiChar">
    <w:name w:val="Üstbilgi Char"/>
    <w:basedOn w:val="VarsaylanParagrafYazTipi"/>
    <w:link w:val="stbilgi"/>
  </w:style>
  <w:style w:type="character" w:customStyle="1" w:styleId="AltbilgiChar">
    <w:name w:val="Altbilgi Char"/>
    <w:basedOn w:val="VarsaylanParagrafYazTipi"/>
    <w:link w:val="Altbilgi"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</dc:creator>
  <cp:lastModifiedBy>MehmetÇoruh</cp:lastModifiedBy>
  <cp:revision>2</cp:revision>
  <cp:lastPrinted>2013-05-29T10:45:00Z</cp:lastPrinted>
  <dcterms:created xsi:type="dcterms:W3CDTF">2019-04-24T08:15:00Z</dcterms:created>
  <dcterms:modified xsi:type="dcterms:W3CDTF">2019-04-24T08:15:00Z</dcterms:modified>
</cp:coreProperties>
</file>